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color w:val="000000"/>
          <w:sz w:val="32"/>
        </w:rPr>
      </w:pPr>
    </w:p>
    <w:p>
      <w:pPr>
        <w:rPr>
          <w:rFonts w:hint="eastAsia" w:ascii="仿宋_GB2312" w:eastAsia="仿宋_GB2312"/>
          <w:color w:val="000000"/>
          <w:sz w:val="32"/>
        </w:rPr>
      </w:pPr>
    </w:p>
    <w:p>
      <w:pPr>
        <w:ind w:firstLine="840" w:firstLineChars="100"/>
        <w:rPr>
          <w:rFonts w:hint="eastAsia" w:ascii="仿宋_GB2312" w:eastAsia="仿宋_GB2312"/>
          <w:color w:val="FF0000"/>
          <w:sz w:val="84"/>
          <w:szCs w:val="84"/>
        </w:rPr>
      </w:pPr>
    </w:p>
    <w:p>
      <w:pPr>
        <w:ind w:firstLine="720" w:firstLineChars="400"/>
        <w:rPr>
          <w:rFonts w:hint="eastAsia" w:ascii="仿宋_GB2312" w:eastAsia="仿宋_GB2312"/>
          <w:color w:val="000000"/>
          <w:sz w:val="18"/>
          <w:szCs w:val="18"/>
        </w:rPr>
      </w:pPr>
    </w:p>
    <w:p>
      <w:pPr>
        <w:jc w:val="center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color w:val="000000"/>
          <w:sz w:val="32"/>
        </w:rPr>
        <w:t>长开大发</w:t>
      </w:r>
      <w:r>
        <w:rPr>
          <w:rFonts w:hint="eastAsia" w:ascii="仿宋" w:hAnsi="仿宋" w:eastAsia="仿宋"/>
          <w:sz w:val="32"/>
        </w:rPr>
        <w:t>〔</w:t>
      </w:r>
      <w:r>
        <w:rPr>
          <w:rFonts w:ascii="仿宋_GB2312" w:eastAsia="仿宋_GB2312"/>
          <w:sz w:val="32"/>
        </w:rPr>
        <w:t>20</w:t>
      </w:r>
      <w:r>
        <w:rPr>
          <w:rFonts w:hint="eastAsia" w:ascii="仿宋_GB2312" w:eastAsia="仿宋_GB2312"/>
          <w:sz w:val="32"/>
        </w:rPr>
        <w:t>23</w:t>
      </w:r>
      <w:r>
        <w:rPr>
          <w:rFonts w:hint="eastAsia" w:ascii="仿宋" w:hAnsi="仿宋" w:eastAsia="仿宋"/>
          <w:sz w:val="32"/>
        </w:rPr>
        <w:t>〕</w:t>
      </w:r>
      <w:r>
        <w:rPr>
          <w:rFonts w:hint="eastAsia" w:ascii="仿宋_GB2312" w:eastAsia="仿宋_GB2312"/>
          <w:sz w:val="32"/>
        </w:rPr>
        <w:t>35号</w:t>
      </w:r>
    </w:p>
    <w:p>
      <w:pPr>
        <w:ind w:firstLine="2720" w:firstLineChars="850"/>
        <w:rPr>
          <w:rFonts w:hint="eastAsia" w:ascii="仿宋_GB2312" w:eastAsia="仿宋_GB2312"/>
          <w:color w:val="000000"/>
          <w:sz w:val="32"/>
        </w:rPr>
      </w:pPr>
    </w:p>
    <w:p>
      <w:pPr>
        <w:rPr>
          <w:rFonts w:hint="eastAsia"/>
        </w:rPr>
      </w:pPr>
    </w:p>
    <w:p>
      <w:pPr>
        <w:spacing w:line="700" w:lineRule="exact"/>
        <w:jc w:val="center"/>
        <w:rPr>
          <w:rFonts w:hint="eastAsia" w:ascii="方正小标宋简体" w:hAnsi="方正小标宋简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关于印发《校级优质课题建设方案》的通知</w:t>
      </w:r>
    </w:p>
    <w:p>
      <w:pPr>
        <w:spacing w:line="700" w:lineRule="exact"/>
        <w:jc w:val="center"/>
        <w:rPr>
          <w:rFonts w:ascii="方正小标宋简体" w:hAnsi="方正小标宋简体" w:eastAsia="方正小标宋简体"/>
          <w:sz w:val="36"/>
          <w:szCs w:val="36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校内各部门：</w:t>
      </w:r>
    </w:p>
    <w:p>
      <w:pPr>
        <w:spacing w:line="360" w:lineRule="auto"/>
        <w:jc w:val="left"/>
        <w:rPr>
          <w:rFonts w:hint="eastAsia"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为进一步加强和规范长春开放大学科学研究课题建设管理工作，促进科研工作发展，提高科研质量，现印发“校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级优质课题建设方案</w:t>
      </w:r>
      <w:bookmarkStart w:id="0" w:name="_GoBack"/>
      <w:bookmarkEnd w:id="0"/>
      <w:r>
        <w:rPr>
          <w:rFonts w:hint="eastAsia" w:ascii="仿宋_GB2312" w:hAnsi="仿宋" w:eastAsia="仿宋_GB2312" w:cs="仿宋"/>
          <w:color w:val="000000"/>
          <w:sz w:val="32"/>
          <w:szCs w:val="32"/>
        </w:rPr>
        <w:t>”（见附件），请各部门遵照执行。</w:t>
      </w:r>
    </w:p>
    <w:p>
      <w:pPr>
        <w:spacing w:line="360" w:lineRule="auto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附件：校级优质课题建设方案</w:t>
      </w:r>
    </w:p>
    <w:p>
      <w:pPr>
        <w:spacing w:line="360" w:lineRule="auto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</w:t>
      </w:r>
    </w:p>
    <w:p>
      <w:pPr>
        <w:spacing w:line="360" w:lineRule="auto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left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right="-92" w:rightChars="-44" w:firstLine="5120" w:firstLineChars="16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长春开放大学</w:t>
      </w:r>
    </w:p>
    <w:p>
      <w:pPr>
        <w:spacing w:line="360" w:lineRule="auto"/>
        <w:jc w:val="left"/>
        <w:rPr>
          <w:rFonts w:hint="eastAsia" w:ascii="方正小标宋简体" w:hAnsi="方正小标宋简体" w:eastAsia="方正小标宋简体"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2023年6月26日</w:t>
      </w:r>
    </w:p>
    <w:p>
      <w:pPr>
        <w:spacing w:line="520" w:lineRule="exact"/>
        <w:rPr>
          <w:rFonts w:hint="eastAsia" w:ascii="仿宋_GB2312" w:hAnsi="Calibri" w:eastAsia="仿宋_GB2312"/>
          <w:sz w:val="32"/>
          <w:szCs w:val="32"/>
        </w:rPr>
      </w:pPr>
    </w:p>
    <w:p>
      <w:pPr>
        <w:tabs>
          <w:tab w:val="left" w:pos="7513"/>
        </w:tabs>
        <w:spacing w:line="520" w:lineRule="exact"/>
        <w:rPr>
          <w:rFonts w:hint="eastAsia" w:ascii="仿宋_GB2312" w:eastAsia="仿宋_GB2312"/>
          <w:kern w:val="28"/>
          <w:position w:val="-6"/>
          <w:sz w:val="28"/>
          <w:szCs w:val="28"/>
        </w:rPr>
      </w:pPr>
    </w:p>
    <w:p>
      <w:pPr>
        <w:tabs>
          <w:tab w:val="left" w:pos="7513"/>
        </w:tabs>
        <w:spacing w:line="52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kern w:val="28"/>
          <w:position w:val="-6"/>
          <w:sz w:val="28"/>
          <w:szCs w:val="28"/>
        </w:rPr>
        <w:pict>
          <v:group id="组合 30" o:spid="_x0000_s1026" o:spt="203" style="position:absolute;left:0pt;margin-left:-7.95pt;margin-top:5.1pt;height:27.05pt;width:442.2pt;z-index:251659264;mso-width-relative:page;mso-height-relative:page;" coordorigin="1590,14130" coordsize="8844,680">
            <o:lock v:ext="edit"/>
            <v:line id="直接连接符 7" o:spid="_x0000_s1027" o:spt="20" style="position:absolute;left:1590;top:14130;height:0;width:8844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">
              <v:path arrowok="t"/>
              <v:fill on="f" focussize="0,0"/>
              <v:stroke weight="1pt"/>
              <v:imagedata o:title=""/>
              <o:lock v:ext="edit"/>
            </v:line>
            <v:line id="直接连接符 7" o:spid="_x0000_s1028" o:spt="20" style="position:absolute;left:1590;top:14810;height:0;width:8844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">
              <v:path arrowok="t"/>
              <v:fill on="f" focussize="0,0"/>
              <v:stroke weight="1pt"/>
              <v:imagedata o:title=""/>
              <o:lock v:ext="edit"/>
            </v:line>
          </v:group>
        </w:pict>
      </w:r>
      <w:r>
        <w:rPr>
          <w:rFonts w:hint="eastAsia" w:ascii="仿宋_GB2312" w:eastAsia="仿宋_GB2312"/>
          <w:kern w:val="28"/>
          <w:position w:val="-6"/>
          <w:sz w:val="28"/>
          <w:szCs w:val="28"/>
        </w:rPr>
        <w:t xml:space="preserve">长春开放大学校长办公室   </w:t>
      </w:r>
      <w:r>
        <w:rPr>
          <w:rFonts w:hint="eastAsia"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kern w:val="28"/>
          <w:position w:val="-6"/>
          <w:sz w:val="28"/>
          <w:szCs w:val="28"/>
        </w:rPr>
        <w:t xml:space="preserve">        2023年6月26日印发</w:t>
      </w: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</w:p>
    <w:p>
      <w:pPr>
        <w:jc w:val="center"/>
        <w:rPr>
          <w:rFonts w:ascii="方正小标宋简体" w:hAnsi="方正小标宋简体" w:eastAsia="方正小标宋简体" w:cs="华文中宋"/>
          <w:sz w:val="36"/>
          <w:szCs w:val="36"/>
        </w:rPr>
      </w:pPr>
      <w:r>
        <w:rPr>
          <w:rFonts w:hint="eastAsia" w:ascii="方正小标宋简体" w:hAnsi="方正小标宋简体" w:eastAsia="方正小标宋简体" w:cs="华文中宋"/>
          <w:sz w:val="36"/>
          <w:szCs w:val="36"/>
        </w:rPr>
        <w:t>校级优质课题建设方案</w:t>
      </w:r>
    </w:p>
    <w:p>
      <w:pPr>
        <w:ind w:firstLine="720" w:firstLineChars="200"/>
        <w:jc w:val="left"/>
        <w:textAlignment w:val="baseline"/>
        <w:rPr>
          <w:rFonts w:ascii="华文中宋" w:hAnsi="华文中宋" w:eastAsia="华文中宋" w:cs="华文中宋"/>
          <w:sz w:val="36"/>
          <w:szCs w:val="36"/>
        </w:rPr>
      </w:pP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根据《长春开放大学科研课题管理细则》，为进一步加强和规范长春开放大学科学研究课题建设管理工作，特制订本方案。</w:t>
      </w:r>
    </w:p>
    <w:p>
      <w:pPr>
        <w:ind w:firstLine="640" w:firstLineChars="200"/>
        <w:jc w:val="left"/>
        <w:textAlignment w:val="baseline"/>
        <w:rPr>
          <w:rFonts w:ascii="黑体" w:hAnsi="黑体" w:eastAsia="黑体" w:cs="仿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sz w:val="32"/>
          <w:szCs w:val="32"/>
        </w:rPr>
        <w:t>一、指导思想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坚持以习近平新时代中国特色社会主义思想为指导，全面贯彻落实党的二十大精神和党的教育方针，落实立德树人根本任务。着眼教育改革发展的新目标和新趋势，立足学校改革发展中的重大现实问题，推进学校高质量发展。</w:t>
      </w:r>
    </w:p>
    <w:p>
      <w:pPr>
        <w:ind w:firstLine="640" w:firstLineChars="200"/>
        <w:jc w:val="left"/>
        <w:textAlignment w:val="baseline"/>
        <w:rPr>
          <w:rFonts w:ascii="黑体" w:hAnsi="黑体" w:eastAsia="黑体" w:cs="仿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sz w:val="32"/>
          <w:szCs w:val="32"/>
        </w:rPr>
        <w:t>二、总体目标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b/>
          <w:bCs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积极主动适应数字化、智能化、终身化、融合化教育发展趋势，构建以学习者为中心，坚持学历教育和非学历教育为两翼的办学格局，完善“学历教育+继续教育+社区教育+老年教育+特殊教育”的“五位一体”办学模式，充分发挥长春开放大学在教育现代化、办好人民满意教育、高质量教育体系建设、学习型社会建设等方面的支撑、驱动和引领作用，坚持基础研究与应用研究并重，以期更好地创新理论、指导实践、服务决策，形成开放教育质量内涵建设的新亮点，形成支撑终身教育和学习型社会的强大合力。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ind w:firstLine="640" w:firstLineChars="200"/>
        <w:jc w:val="left"/>
        <w:textAlignment w:val="baseline"/>
        <w:rPr>
          <w:rFonts w:ascii="黑体" w:hAnsi="黑体" w:eastAsia="黑体" w:cs="仿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sz w:val="32"/>
          <w:szCs w:val="32"/>
        </w:rPr>
        <w:t>三、立项要求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1.根据综合性、前瞻性、先进性、创新性和实践性的原则，选题须具有一定的理论和实践价值，富有创新性，致力于研究和解决创新人才培养中面临的关键问题，对深化人才培养模式改革有重要作用，具有较强的针对性。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2.研究目标明确，研究思路清晰，有整体的研究与实施方案，有明确的预期成果。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3.研究成果具有较强的实践意义和较好的推广价值。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4.有较好的研究基础和较强的研究力量，在人员、经费和条件等方面有保障措施。</w:t>
      </w:r>
    </w:p>
    <w:p>
      <w:pPr>
        <w:ind w:firstLine="640" w:firstLineChars="200"/>
        <w:jc w:val="left"/>
        <w:textAlignment w:val="baseline"/>
        <w:rPr>
          <w:rFonts w:ascii="黑体" w:hAnsi="黑体" w:eastAsia="黑体" w:cs="仿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sz w:val="32"/>
          <w:szCs w:val="32"/>
        </w:rPr>
        <w:t>四、课题类别及说明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校级优质课题设立年度课题与专项课题两种类型。年度重点课题学校拨付经费3000元，专项课题经费2000元。</w:t>
      </w:r>
    </w:p>
    <w:p>
      <w:pPr>
        <w:ind w:firstLine="640" w:firstLineChars="200"/>
        <w:jc w:val="left"/>
        <w:textAlignment w:val="baseline"/>
        <w:rPr>
          <w:rFonts w:ascii="楷体" w:hAnsi="楷体" w:eastAsia="楷体" w:cs="仿宋"/>
          <w:bCs/>
          <w:color w:val="000000"/>
          <w:sz w:val="32"/>
          <w:szCs w:val="32"/>
        </w:rPr>
      </w:pPr>
      <w:r>
        <w:rPr>
          <w:rFonts w:hint="eastAsia" w:ascii="楷体" w:hAnsi="楷体" w:eastAsia="楷体" w:cs="仿宋"/>
          <w:bCs/>
          <w:color w:val="000000"/>
          <w:sz w:val="32"/>
          <w:szCs w:val="32"/>
        </w:rPr>
        <w:t>（一）年度课题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设立重点课题、一般课题两种类型。年度课题以当前教育改革和发展中的重大问题题为研究方向，或以反映教育发展趋势的前瞻性、创新性问题为研究内容。申报人可参考“年度课题指南”拟定题目，也可结合本人研究方向自拟题目申报。自拟课题名称表述应科学、严谨、规范、简明，避免引起歧义或争议。重点课题从申报年度课题中择优确定。重点课题主持人应具有副教授以上任职资格；一般课题主持人应具有讲师以上职称。年度课题研究期限原则上为1-2年。</w:t>
      </w:r>
    </w:p>
    <w:p>
      <w:pPr>
        <w:ind w:firstLine="640" w:firstLineChars="200"/>
        <w:jc w:val="left"/>
        <w:textAlignment w:val="baseline"/>
        <w:rPr>
          <w:rFonts w:ascii="楷体" w:hAnsi="楷体" w:eastAsia="楷体" w:cs="仿宋"/>
          <w:bCs/>
          <w:color w:val="000000"/>
          <w:sz w:val="32"/>
          <w:szCs w:val="32"/>
        </w:rPr>
      </w:pPr>
      <w:r>
        <w:rPr>
          <w:rFonts w:hint="eastAsia" w:ascii="楷体" w:hAnsi="楷体" w:eastAsia="楷体" w:cs="仿宋"/>
          <w:bCs/>
          <w:color w:val="000000"/>
          <w:sz w:val="32"/>
          <w:szCs w:val="32"/>
        </w:rPr>
        <w:t>（二）专项课题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专项课题根据学校每年度重点工作设立。专项课题不设指南，申报人可结合实际自拟题目申报。专项课题按申报专项类别独立评审，不参与其他类别课题评审。</w:t>
      </w:r>
    </w:p>
    <w:p>
      <w:pPr>
        <w:ind w:firstLine="640" w:firstLineChars="200"/>
        <w:jc w:val="left"/>
        <w:textAlignment w:val="baseline"/>
        <w:rPr>
          <w:rFonts w:ascii="黑体" w:hAnsi="黑体" w:eastAsia="黑体" w:cs="仿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sz w:val="32"/>
          <w:szCs w:val="32"/>
        </w:rPr>
        <w:t>五、申报程序与条件</w:t>
      </w:r>
    </w:p>
    <w:p>
      <w:pPr>
        <w:ind w:firstLine="640" w:firstLineChars="200"/>
        <w:jc w:val="left"/>
        <w:textAlignment w:val="baseline"/>
        <w:rPr>
          <w:rFonts w:ascii="楷体" w:hAnsi="楷体" w:eastAsia="楷体" w:cs="仿宋"/>
          <w:bCs/>
          <w:color w:val="000000"/>
          <w:sz w:val="32"/>
          <w:szCs w:val="32"/>
        </w:rPr>
      </w:pPr>
      <w:r>
        <w:rPr>
          <w:rFonts w:hint="eastAsia" w:ascii="楷体" w:hAnsi="楷体" w:eastAsia="楷体" w:cs="仿宋"/>
          <w:bCs/>
          <w:color w:val="000000"/>
          <w:sz w:val="32"/>
          <w:szCs w:val="32"/>
        </w:rPr>
        <w:t>（一）申请程序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包括课题组申请、学校组织专家遴选、公示立项。自愿申报、公平竞争、择优立项。</w:t>
      </w:r>
    </w:p>
    <w:p>
      <w:pPr>
        <w:ind w:firstLine="640" w:firstLineChars="200"/>
        <w:jc w:val="left"/>
        <w:textAlignment w:val="baseline"/>
        <w:rPr>
          <w:rFonts w:ascii="楷体" w:hAnsi="楷体" w:eastAsia="楷体" w:cs="仿宋"/>
          <w:bCs/>
          <w:color w:val="000000"/>
          <w:sz w:val="32"/>
          <w:szCs w:val="32"/>
        </w:rPr>
      </w:pPr>
      <w:r>
        <w:rPr>
          <w:rFonts w:hint="eastAsia" w:ascii="楷体" w:hAnsi="楷体" w:eastAsia="楷体" w:cs="仿宋"/>
          <w:bCs/>
          <w:color w:val="000000"/>
          <w:sz w:val="32"/>
          <w:szCs w:val="32"/>
        </w:rPr>
        <w:t>（二）申请条件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1.长春开放大学校级优质课题面向长春开放大学办学体系开展申报，课题主持人必须为办学体系内教职工。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2.作为课题主持人，同一年度只能申报1项校级课题；正在承担校级在研课题的主持人不能申报，且不能作为成员参与其他校级课题申报；作为课题组成员，最多只能参与2项校级课题。每项课题限设1位主持人。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3.申请其他科研项目的主持人不能以内容相同相近的选题申报本课题。</w:t>
      </w:r>
    </w:p>
    <w:p>
      <w:pPr>
        <w:ind w:firstLine="640" w:firstLineChars="200"/>
        <w:jc w:val="left"/>
        <w:textAlignment w:val="baseline"/>
        <w:rPr>
          <w:rFonts w:ascii="黑体" w:hAnsi="黑体" w:eastAsia="黑体" w:cs="仿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sz w:val="32"/>
          <w:szCs w:val="32"/>
        </w:rPr>
        <w:t>六、成果转化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课题结题后，研究成果须应用于学校教育教学改革。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长春开放大学有权保留并向有关部门或机构报送课题成果的原件、复印件、摘要和电子版；有权公布课题研究成果的全部或部分内容，可以影印、缩印、扫描、出版等形式复制、保存、汇编课题研究成果；允许课题研究成果被他人查阅和借阅；有权推广科研成果，允许将课题研究成果通过内部报告、学术会议、专业报刊、大众媒体、专门网站、评奖等形式进行宣传、试验和培训。</w:t>
      </w:r>
    </w:p>
    <w:p>
      <w:pPr>
        <w:ind w:firstLine="640" w:firstLineChars="200"/>
        <w:jc w:val="left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本方案自下发之日起实施。</w:t>
      </w:r>
    </w:p>
    <w:p>
      <w:pPr>
        <w:jc w:val="center"/>
        <w:textAlignment w:val="baseline"/>
        <w:rPr>
          <w:rFonts w:hint="eastAsia"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     </w:t>
      </w:r>
    </w:p>
    <w:p>
      <w:pPr>
        <w:jc w:val="center"/>
        <w:textAlignment w:val="baseline"/>
        <w:rPr>
          <w:rFonts w:hint="eastAsia" w:ascii="仿宋_GB2312" w:hAnsi="仿宋" w:eastAsia="仿宋_GB2312" w:cs="仿宋"/>
          <w:color w:val="000000"/>
          <w:sz w:val="32"/>
          <w:szCs w:val="32"/>
        </w:rPr>
      </w:pPr>
    </w:p>
    <w:p>
      <w:pPr>
        <w:jc w:val="center"/>
        <w:textAlignment w:val="baseline"/>
        <w:rPr>
          <w:rFonts w:hint="eastAsia" w:ascii="仿宋_GB2312" w:hAnsi="仿宋" w:eastAsia="仿宋_GB2312" w:cs="仿宋"/>
          <w:color w:val="000000"/>
          <w:sz w:val="32"/>
          <w:szCs w:val="32"/>
        </w:rPr>
      </w:pPr>
    </w:p>
    <w:p>
      <w:pPr>
        <w:jc w:val="center"/>
        <w:textAlignment w:val="baseline"/>
        <w:rPr>
          <w:rFonts w:hint="eastAsia" w:ascii="仿宋_GB2312" w:hAnsi="仿宋" w:eastAsia="仿宋_GB2312" w:cs="仿宋"/>
          <w:color w:val="000000"/>
          <w:sz w:val="32"/>
          <w:szCs w:val="32"/>
        </w:rPr>
      </w:pPr>
    </w:p>
    <w:p>
      <w:pPr>
        <w:jc w:val="center"/>
        <w:textAlignment w:val="baseline"/>
        <w:rPr>
          <w:rFonts w:hint="eastAsia" w:ascii="仿宋_GB2312" w:hAnsi="仿宋" w:eastAsia="仿宋_GB2312" w:cs="仿宋"/>
          <w:color w:val="000000"/>
          <w:sz w:val="32"/>
          <w:szCs w:val="32"/>
        </w:rPr>
      </w:pPr>
    </w:p>
    <w:p>
      <w:pPr>
        <w:jc w:val="center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                           </w:t>
      </w:r>
    </w:p>
    <w:p>
      <w:pPr>
        <w:ind w:firstLine="640" w:firstLineChars="200"/>
        <w:jc w:val="center"/>
        <w:textAlignment w:val="baseline"/>
        <w:rPr>
          <w:rFonts w:ascii="仿宋_GB2312" w:hAnsi="仿宋" w:eastAsia="仿宋_GB2312" w:cs="仿宋"/>
          <w:color w:val="000000"/>
          <w:sz w:val="32"/>
          <w:szCs w:val="32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eastAsia"/>
        <w:lang w:val="en-US" w:eastAsia="zh-CN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JmN2IzYTk5ZmIwNmI4MzI0MDc3NzdhOGRmNzk0OWQifQ=="/>
  </w:docVars>
  <w:rsids>
    <w:rsidRoot w:val="001A67C3"/>
    <w:rsid w:val="000B45A9"/>
    <w:rsid w:val="00130655"/>
    <w:rsid w:val="001934A1"/>
    <w:rsid w:val="001A67C3"/>
    <w:rsid w:val="00224E24"/>
    <w:rsid w:val="00276ED9"/>
    <w:rsid w:val="00330800"/>
    <w:rsid w:val="003E40F0"/>
    <w:rsid w:val="0040340A"/>
    <w:rsid w:val="004103E5"/>
    <w:rsid w:val="004A6C49"/>
    <w:rsid w:val="004B669C"/>
    <w:rsid w:val="004C0564"/>
    <w:rsid w:val="004F78A6"/>
    <w:rsid w:val="005902D0"/>
    <w:rsid w:val="005A4DC0"/>
    <w:rsid w:val="005A6E02"/>
    <w:rsid w:val="005F4433"/>
    <w:rsid w:val="00614812"/>
    <w:rsid w:val="006A0064"/>
    <w:rsid w:val="006E70B2"/>
    <w:rsid w:val="007410F2"/>
    <w:rsid w:val="00853A97"/>
    <w:rsid w:val="008A09E2"/>
    <w:rsid w:val="009131ED"/>
    <w:rsid w:val="0097543C"/>
    <w:rsid w:val="0099329D"/>
    <w:rsid w:val="00A21E94"/>
    <w:rsid w:val="00B20A8E"/>
    <w:rsid w:val="00B82DFA"/>
    <w:rsid w:val="00BD1C70"/>
    <w:rsid w:val="00D157B4"/>
    <w:rsid w:val="00DF696E"/>
    <w:rsid w:val="00E1320A"/>
    <w:rsid w:val="00EE1E61"/>
    <w:rsid w:val="07602A2E"/>
    <w:rsid w:val="0BA1478F"/>
    <w:rsid w:val="0FAB6B3B"/>
    <w:rsid w:val="11A35185"/>
    <w:rsid w:val="14DE742A"/>
    <w:rsid w:val="1FE306F7"/>
    <w:rsid w:val="21BE3C96"/>
    <w:rsid w:val="26D27CEB"/>
    <w:rsid w:val="2ED915A5"/>
    <w:rsid w:val="3B012AB3"/>
    <w:rsid w:val="60F81FFF"/>
    <w:rsid w:val="63CD68EB"/>
    <w:rsid w:val="666D3E50"/>
    <w:rsid w:val="6A5A6AB2"/>
    <w:rsid w:val="6D980B0D"/>
    <w:rsid w:val="6DC635F8"/>
    <w:rsid w:val="6DD63E49"/>
    <w:rsid w:val="71926670"/>
    <w:rsid w:val="73C3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link w:val="10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basedOn w:val="8"/>
    <w:qFormat/>
    <w:uiPriority w:val="0"/>
    <w:rPr>
      <w:color w:val="000033"/>
      <w:u w:val="none"/>
    </w:rPr>
  </w:style>
  <w:style w:type="character" w:customStyle="1" w:styleId="10">
    <w:name w:val="标题 3 Char"/>
    <w:link w:val="3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123xz.org</Company>
  <Pages>5</Pages>
  <Words>1540</Words>
  <Characters>1567</Characters>
  <Lines>10</Lines>
  <Paragraphs>3</Paragraphs>
  <TotalTime>7</TotalTime>
  <ScaleCrop>false</ScaleCrop>
  <LinksUpToDate>false</LinksUpToDate>
  <CharactersWithSpaces>1690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2023-05-26T02:13:00Z</dcterms:created>
  <dc:creator>Wen.WD</dc:creator>
  <cp:lastModifiedBy>温闹闹</cp:lastModifiedBy>
  <cp:lastPrinted>2023-09-06T07:14:00Z</cp:lastPrinted>
  <dcterms:modified xsi:type="dcterms:W3CDTF">2023-09-26T05:29:39Z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B2CC01C14A024C62B0497942490FFF13_12</vt:lpwstr>
  </property>
</Properties>
</file>